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pStyle w:val="Prrafodelista"/>
        <w:ind w:left="360"/>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caps/>
          <w:sz w:val="22"/>
          <w:szCs w:val="22"/>
          <w:lang w:val="es-MX"/>
        </w:rPr>
      </w:pPr>
      <w:r w:rsidRPr="002B7E4F">
        <w:rPr>
          <w:rFonts w:ascii="Arial" w:hAnsi="Arial" w:cs="Arial"/>
          <w:b/>
          <w:caps/>
          <w:sz w:val="22"/>
          <w:szCs w:val="22"/>
          <w:lang w:val="es-MX"/>
        </w:rPr>
        <w:t>EP</w:t>
      </w:r>
      <w:r w:rsidR="00715976">
        <w:rPr>
          <w:rFonts w:ascii="Arial" w:hAnsi="Arial" w:cs="Arial"/>
          <w:b/>
          <w:caps/>
          <w:sz w:val="22"/>
          <w:szCs w:val="22"/>
          <w:lang w:val="es-MX"/>
        </w:rPr>
        <w:t>.</w:t>
      </w:r>
      <w:r w:rsidRPr="002B7E4F">
        <w:rPr>
          <w:rFonts w:ascii="Arial" w:hAnsi="Arial" w:cs="Arial"/>
          <w:b/>
          <w:caps/>
          <w:sz w:val="22"/>
          <w:szCs w:val="22"/>
          <w:lang w:val="es-MX"/>
        </w:rPr>
        <w:t xml:space="preserve"> 91</w:t>
      </w:r>
      <w:r w:rsidR="00715976">
        <w:rPr>
          <w:rFonts w:ascii="Arial" w:hAnsi="Arial" w:cs="Arial"/>
          <w:b/>
          <w:caps/>
          <w:sz w:val="22"/>
          <w:szCs w:val="22"/>
          <w:lang w:val="es-MX"/>
        </w:rPr>
        <w:t>.-</w:t>
      </w:r>
      <w:r w:rsidRPr="002B7E4F">
        <w:rPr>
          <w:rFonts w:ascii="Arial" w:hAnsi="Arial" w:cs="Arial"/>
          <w:b/>
          <w:caps/>
          <w:sz w:val="22"/>
          <w:szCs w:val="22"/>
          <w:lang w:val="es-MX"/>
        </w:rPr>
        <w:t xml:space="preserve"> Tablero de control hidroneumático estaciones  elevadas</w:t>
      </w:r>
    </w:p>
    <w:p w:rsidR="002B7E4F" w:rsidRPr="002B7E4F" w:rsidRDefault="002B7E4F" w:rsidP="002B7E4F">
      <w:pPr>
        <w:jc w:val="both"/>
        <w:rPr>
          <w:rFonts w:ascii="Arial" w:hAnsi="Arial" w:cs="Arial"/>
          <w:b/>
          <w:caps/>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Tablero de fuerza y control de velocidad variable marca PICSA ISO9001:2000 </w:t>
      </w:r>
      <w:proofErr w:type="spellStart"/>
      <w:r w:rsidRPr="002B7E4F">
        <w:rPr>
          <w:rFonts w:ascii="Arial" w:hAnsi="Arial" w:cs="Arial"/>
          <w:sz w:val="22"/>
          <w:szCs w:val="22"/>
        </w:rPr>
        <w:t>mod</w:t>
      </w:r>
      <w:proofErr w:type="spellEnd"/>
      <w:r w:rsidRPr="002B7E4F">
        <w:rPr>
          <w:rFonts w:ascii="Arial" w:hAnsi="Arial" w:cs="Arial"/>
          <w:sz w:val="22"/>
          <w:szCs w:val="22"/>
        </w:rPr>
        <w:t>. TVV2B-47, para controlar y proteger 2 bombas, compuesto por lo siguiente: 2 Variadores de frecuencia para motor de 7.5 HP en 460 V.</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1 Transductor de Presión de 0-150 PSI con salida de 4 a 20 </w:t>
      </w:r>
      <w:proofErr w:type="spellStart"/>
      <w:r w:rsidRPr="002B7E4F">
        <w:rPr>
          <w:rFonts w:ascii="Arial" w:hAnsi="Arial" w:cs="Arial"/>
          <w:sz w:val="22"/>
          <w:szCs w:val="22"/>
        </w:rPr>
        <w:t>mA.</w:t>
      </w:r>
      <w:proofErr w:type="spellEnd"/>
      <w:r w:rsidRPr="002B7E4F">
        <w:rPr>
          <w:rFonts w:ascii="Arial" w:hAnsi="Arial" w:cs="Arial"/>
          <w:sz w:val="22"/>
          <w:szCs w:val="22"/>
        </w:rPr>
        <w:t xml:space="preserve"> Cuenta con 2 entradas analógicas de 4 a 20 </w:t>
      </w:r>
      <w:proofErr w:type="spellStart"/>
      <w:r w:rsidRPr="002B7E4F">
        <w:rPr>
          <w:rFonts w:ascii="Arial" w:hAnsi="Arial" w:cs="Arial"/>
          <w:sz w:val="22"/>
          <w:szCs w:val="22"/>
        </w:rPr>
        <w:t>mA</w:t>
      </w:r>
      <w:proofErr w:type="spellEnd"/>
      <w:r w:rsidRPr="002B7E4F">
        <w:rPr>
          <w:rFonts w:ascii="Arial" w:hAnsi="Arial" w:cs="Arial"/>
          <w:sz w:val="22"/>
          <w:szCs w:val="22"/>
        </w:rPr>
        <w:t xml:space="preserve"> para sensores de: presión o presión diferencial, Puerto de comunicación con protocolo </w:t>
      </w:r>
      <w:proofErr w:type="spellStart"/>
      <w:r w:rsidRPr="002B7E4F">
        <w:rPr>
          <w:rFonts w:ascii="Arial" w:hAnsi="Arial" w:cs="Arial"/>
          <w:sz w:val="22"/>
          <w:szCs w:val="22"/>
        </w:rPr>
        <w:t>Modbus</w:t>
      </w:r>
      <w:proofErr w:type="spellEnd"/>
      <w:r w:rsidRPr="002B7E4F">
        <w:rPr>
          <w:rFonts w:ascii="Arial" w:hAnsi="Arial" w:cs="Arial"/>
          <w:sz w:val="22"/>
          <w:szCs w:val="22"/>
        </w:rPr>
        <w:t xml:space="preserve">-RTU esclavo, RS232 </w:t>
      </w:r>
      <w:proofErr w:type="spellStart"/>
      <w:r w:rsidRPr="002B7E4F">
        <w:rPr>
          <w:rFonts w:ascii="Arial" w:hAnsi="Arial" w:cs="Arial"/>
          <w:sz w:val="22"/>
          <w:szCs w:val="22"/>
        </w:rPr>
        <w:t>ó</w:t>
      </w:r>
      <w:proofErr w:type="spellEnd"/>
      <w:r w:rsidRPr="002B7E4F">
        <w:rPr>
          <w:rFonts w:ascii="Arial" w:hAnsi="Arial" w:cs="Arial"/>
          <w:sz w:val="22"/>
          <w:szCs w:val="22"/>
        </w:rPr>
        <w:t xml:space="preserve"> RS485 a solicitud.</w:t>
      </w:r>
    </w:p>
    <w:p w:rsidR="002B7E4F" w:rsidRPr="002B7E4F" w:rsidRDefault="002B7E4F" w:rsidP="002B7E4F">
      <w:pPr>
        <w:jc w:val="both"/>
        <w:rPr>
          <w:rFonts w:ascii="Arial" w:hAnsi="Arial" w:cs="Arial"/>
          <w:sz w:val="22"/>
          <w:szCs w:val="22"/>
        </w:rPr>
      </w:pPr>
      <w:r w:rsidRPr="002B7E4F">
        <w:rPr>
          <w:rFonts w:ascii="Arial" w:hAnsi="Arial" w:cs="Arial"/>
          <w:sz w:val="22"/>
          <w:szCs w:val="22"/>
        </w:rPr>
        <w:t>El tablero TVV tiene dos modos básicos de operación, los cuales son:</w:t>
      </w:r>
    </w:p>
    <w:p w:rsidR="002B7E4F" w:rsidRPr="002B7E4F" w:rsidRDefault="002B7E4F" w:rsidP="002B7E4F">
      <w:pPr>
        <w:tabs>
          <w:tab w:val="left" w:pos="5700"/>
        </w:tabs>
        <w:jc w:val="both"/>
        <w:rPr>
          <w:rFonts w:ascii="Arial" w:hAnsi="Arial" w:cs="Arial"/>
          <w:sz w:val="22"/>
          <w:szCs w:val="22"/>
        </w:rPr>
      </w:pPr>
      <w:r w:rsidRPr="002B7E4F">
        <w:rPr>
          <w:rFonts w:ascii="Arial" w:hAnsi="Arial" w:cs="Arial"/>
          <w:sz w:val="22"/>
          <w:szCs w:val="22"/>
        </w:rPr>
        <w:t>MODO FUERA.</w:t>
      </w:r>
      <w:r w:rsidRPr="002B7E4F">
        <w:rPr>
          <w:rFonts w:ascii="Arial" w:hAnsi="Arial" w:cs="Arial"/>
          <w:sz w:val="22"/>
          <w:szCs w:val="22"/>
        </w:rPr>
        <w:tab/>
      </w:r>
      <w:r w:rsidRPr="002B7E4F">
        <w:rPr>
          <w:rFonts w:ascii="Arial" w:hAnsi="Arial" w:cs="Arial"/>
          <w:sz w:val="22"/>
          <w:szCs w:val="22"/>
        </w:rPr>
        <w:tab/>
      </w:r>
    </w:p>
    <w:p w:rsidR="002B7E4F" w:rsidRPr="002B7E4F" w:rsidRDefault="002B7E4F" w:rsidP="002B7E4F">
      <w:pPr>
        <w:jc w:val="both"/>
        <w:rPr>
          <w:rFonts w:ascii="Arial" w:hAnsi="Arial" w:cs="Arial"/>
          <w:sz w:val="22"/>
          <w:szCs w:val="22"/>
        </w:rPr>
      </w:pPr>
      <w:r w:rsidRPr="002B7E4F">
        <w:rPr>
          <w:rFonts w:ascii="Arial" w:hAnsi="Arial" w:cs="Arial"/>
          <w:sz w:val="22"/>
          <w:szCs w:val="22"/>
        </w:rPr>
        <w:t>MODO AUTOMÁTICO.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Sección de potencia compuesto por: Interruptor magnético de alta capacidad </w:t>
      </w:r>
      <w:proofErr w:type="spellStart"/>
      <w:r w:rsidRPr="002B7E4F">
        <w:rPr>
          <w:rFonts w:ascii="Arial" w:hAnsi="Arial" w:cs="Arial"/>
          <w:sz w:val="22"/>
          <w:szCs w:val="22"/>
        </w:rPr>
        <w:t>interruptiva</w:t>
      </w:r>
      <w:proofErr w:type="spellEnd"/>
      <w:r w:rsidRPr="002B7E4F">
        <w:rPr>
          <w:rFonts w:ascii="Arial" w:hAnsi="Arial" w:cs="Arial"/>
          <w:sz w:val="22"/>
          <w:szCs w:val="22"/>
        </w:rPr>
        <w:t>, Todo contenido en un gabinete NEMA 2.                                                                                                                           Incluye: mano de obra, equipo, herramientas, elevaciones, trazo, nivelación, elementos de fijación, limpieza, pruebas, puesta en servicio y todo lo necesario para su correcta ejecución.</w:t>
      </w:r>
    </w:p>
    <w:p w:rsidR="002B7E4F" w:rsidRPr="002B7E4F" w:rsidRDefault="002B7E4F" w:rsidP="002B7E4F">
      <w:pPr>
        <w:pStyle w:val="TITULO-3"/>
        <w:tabs>
          <w:tab w:val="clear" w:pos="1146"/>
        </w:tabs>
        <w:ind w:left="851" w:firstLine="0"/>
        <w:rPr>
          <w:rFonts w:ascii="Arial" w:hAnsi="Arial" w:cs="Arial"/>
          <w:b/>
          <w:sz w:val="22"/>
          <w:szCs w:val="22"/>
        </w:rPr>
      </w:pPr>
    </w:p>
    <w:p w:rsidR="002B7E4F" w:rsidRPr="002B7E4F" w:rsidRDefault="002B7E4F" w:rsidP="00462F48">
      <w:pPr>
        <w:pStyle w:val="TITULO-3"/>
        <w:numPr>
          <w:ilvl w:val="2"/>
          <w:numId w:val="15"/>
        </w:numPr>
        <w:rPr>
          <w:rFonts w:ascii="Arial" w:hAnsi="Arial" w:cs="Arial"/>
          <w:b/>
          <w:sz w:val="22"/>
          <w:szCs w:val="22"/>
        </w:rPr>
      </w:pPr>
      <w:bookmarkStart w:id="1" w:name="_Toc368180137"/>
      <w:r w:rsidRPr="002B7E4F">
        <w:rPr>
          <w:rFonts w:ascii="Arial" w:hAnsi="Arial" w:cs="Arial"/>
          <w:b/>
          <w:sz w:val="22"/>
          <w:szCs w:val="22"/>
        </w:rPr>
        <w:t>Características Técnicas</w:t>
      </w:r>
      <w:bookmarkEnd w:id="1"/>
    </w:p>
    <w:p w:rsidR="002B7E4F" w:rsidRPr="002B7E4F" w:rsidRDefault="002B7E4F" w:rsidP="00462F48">
      <w:pPr>
        <w:pStyle w:val="TITULO-4"/>
        <w:numPr>
          <w:ilvl w:val="3"/>
          <w:numId w:val="15"/>
        </w:numPr>
        <w:rPr>
          <w:spacing w:val="-1"/>
          <w:sz w:val="22"/>
          <w:szCs w:val="22"/>
        </w:rPr>
      </w:pPr>
      <w:r w:rsidRPr="002B7E4F">
        <w:rPr>
          <w:sz w:val="22"/>
          <w:szCs w:val="22"/>
        </w:rPr>
        <w:tab/>
      </w:r>
      <w:bookmarkStart w:id="2" w:name="_Toc368180138"/>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del tablero y de sus componentes fueron seleccionados de acuerdo a las necesidades requeridas por los equipos hidroneumáticos, basados en los paramétricos eléctricos adecuados y las características de fabricación idóneas.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deberá cumplir con las características técnicas y funcionales enmarcadas en el proyecto ejecutivo o en esta especificación técnica.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5"/>
        </w:numPr>
        <w:rPr>
          <w:spacing w:val="-1"/>
          <w:sz w:val="22"/>
          <w:szCs w:val="22"/>
        </w:rPr>
      </w:pPr>
      <w:bookmarkStart w:id="3" w:name="_Toc368180139"/>
      <w:r w:rsidRPr="002B7E4F">
        <w:rPr>
          <w:spacing w:val="-1"/>
          <w:sz w:val="22"/>
          <w:szCs w:val="22"/>
        </w:rPr>
        <w:t>Operación y control.</w:t>
      </w:r>
      <w:bookmarkEnd w:id="3"/>
    </w:p>
    <w:p w:rsidR="002B7E4F" w:rsidRPr="002B7E4F" w:rsidRDefault="002B7E4F" w:rsidP="002B7E4F">
      <w:pPr>
        <w:jc w:val="both"/>
        <w:rPr>
          <w:rFonts w:ascii="Arial" w:hAnsi="Arial" w:cs="Arial"/>
          <w:sz w:val="22"/>
          <w:szCs w:val="22"/>
        </w:rPr>
      </w:pPr>
      <w:r w:rsidRPr="002B7E4F">
        <w:rPr>
          <w:rFonts w:ascii="Arial" w:hAnsi="Arial" w:cs="Arial"/>
          <w:sz w:val="22"/>
          <w:szCs w:val="22"/>
        </w:rPr>
        <w:t>La operación y el control de los tableros  de bombeo de los sistemas hidroneumáticos deberán ser de manera remota y automática. Deberá ser capaz de controlar a los equipos de bombeo de forma automatizada y con capacidad de recibir y enviar comunicaciones vía remota hacia el centro de control o bien desde el local jefe de estación.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bombeo será controlado desde el tablero de control y contará con un sistema de accionamiento automático, programado de tal forma que ante una o varios niveles de agua sea capaz de arrancar y parar de forma automática. Par los sistemas hidroneumáticos, el tablero de control tendrá los datos de presurización de la red desde el cual definirá las actuaciones correspondientes al parao o arranque de los grupos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Este sistema también tendrá la opción a cambiarse de forma manual para casos de mantenimiento en el sitio de la instalación o bien para pruebas locales o desmontajes.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5"/>
        </w:numPr>
        <w:tabs>
          <w:tab w:val="clear" w:pos="1440"/>
          <w:tab w:val="num" w:pos="851"/>
        </w:tabs>
        <w:ind w:left="851" w:hanging="851"/>
        <w:rPr>
          <w:rFonts w:ascii="Arial" w:hAnsi="Arial" w:cs="Arial"/>
          <w:b/>
          <w:sz w:val="22"/>
          <w:szCs w:val="22"/>
        </w:rPr>
      </w:pPr>
      <w:bookmarkStart w:id="4" w:name="_Toc368180140"/>
      <w:r w:rsidRPr="002B7E4F">
        <w:rPr>
          <w:rFonts w:ascii="Arial" w:hAnsi="Arial" w:cs="Arial"/>
          <w:b/>
          <w:sz w:val="22"/>
          <w:szCs w:val="22"/>
        </w:rPr>
        <w:t>Ejecución de Obra</w:t>
      </w:r>
      <w:bookmarkEnd w:id="4"/>
    </w:p>
    <w:p w:rsidR="002B7E4F" w:rsidRPr="002B7E4F" w:rsidRDefault="002B7E4F" w:rsidP="00462F48">
      <w:pPr>
        <w:pStyle w:val="TITULO-4"/>
        <w:numPr>
          <w:ilvl w:val="3"/>
          <w:numId w:val="15"/>
        </w:numPr>
        <w:rPr>
          <w:sz w:val="22"/>
          <w:szCs w:val="22"/>
        </w:rPr>
      </w:pPr>
      <w:bookmarkStart w:id="5" w:name="_Toc368180141"/>
      <w:r w:rsidRPr="002B7E4F">
        <w:rPr>
          <w:sz w:val="22"/>
          <w:szCs w:val="22"/>
        </w:rPr>
        <w:t>Trabajos preliminares</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tableros de control para los equipos de bombeo para los diferentes cuartos de máquinas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equipos y desde el periodo de fabricación de las mismas. </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5"/>
        </w:numPr>
        <w:rPr>
          <w:sz w:val="22"/>
          <w:szCs w:val="22"/>
        </w:rPr>
      </w:pPr>
      <w:bookmarkStart w:id="6" w:name="_Toc368180142"/>
      <w:r w:rsidRPr="002B7E4F">
        <w:rPr>
          <w:sz w:val="22"/>
          <w:szCs w:val="22"/>
        </w:rPr>
        <w:t>Almacenaje y transporte.</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5"/>
        </w:numPr>
        <w:rPr>
          <w:sz w:val="22"/>
          <w:szCs w:val="22"/>
        </w:rPr>
      </w:pPr>
      <w:bookmarkStart w:id="7" w:name="_Toc368180143"/>
      <w:r w:rsidRPr="002B7E4F">
        <w:rPr>
          <w:sz w:val="22"/>
          <w:szCs w:val="22"/>
        </w:rPr>
        <w:t>Instalación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los equipos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w:t>
      </w:r>
      <w:r w:rsidRPr="002B7E4F">
        <w:rPr>
          <w:rFonts w:ascii="Arial" w:hAnsi="Arial" w:cs="Arial"/>
          <w:sz w:val="22"/>
          <w:szCs w:val="22"/>
        </w:rPr>
        <w:lastRenderedPageBreak/>
        <w:t xml:space="preserve">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de los equipos de bombeo,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5"/>
        </w:numPr>
        <w:tabs>
          <w:tab w:val="clear" w:pos="1440"/>
          <w:tab w:val="num" w:pos="851"/>
        </w:tabs>
        <w:ind w:left="851" w:hanging="851"/>
        <w:rPr>
          <w:rFonts w:ascii="Arial" w:hAnsi="Arial" w:cs="Arial"/>
          <w:b/>
          <w:sz w:val="22"/>
          <w:szCs w:val="22"/>
        </w:rPr>
      </w:pPr>
      <w:bookmarkStart w:id="8" w:name="_Toc368180144"/>
      <w:r w:rsidRPr="002B7E4F">
        <w:rPr>
          <w:rFonts w:ascii="Arial" w:hAnsi="Arial" w:cs="Arial"/>
          <w:b/>
          <w:sz w:val="22"/>
          <w:szCs w:val="22"/>
        </w:rPr>
        <w:t>Medición</w:t>
      </w:r>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tableros de control automático de los equipos de bombeo 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Conexiones de  tableros de control, limpieza del área de trabajo. También se incluirán en el presente concepto todos los arreglos de tuberías y accesorios que permitan el correcto funcionamiento de dichos equipos. Se deberán de </w:t>
      </w:r>
      <w:proofErr w:type="spellStart"/>
      <w:r w:rsidRPr="002B7E4F">
        <w:rPr>
          <w:rFonts w:ascii="Arial" w:hAnsi="Arial" w:cs="Arial"/>
          <w:sz w:val="22"/>
          <w:szCs w:val="22"/>
        </w:rPr>
        <w:t>conemplar</w:t>
      </w:r>
      <w:proofErr w:type="spellEnd"/>
      <w:r w:rsidRPr="002B7E4F">
        <w:rPr>
          <w:rFonts w:ascii="Arial" w:hAnsi="Arial" w:cs="Arial"/>
          <w:sz w:val="22"/>
          <w:szCs w:val="22"/>
        </w:rPr>
        <w:t xml:space="preserve"> todas las conexiones necesarias en la instalación de los tableros de control. Se contemplarán además todas las piezas especiales que conlleve la conexión de dichos equipos, soportes de tuberías tanto a nivel de piso o bien </w:t>
      </w:r>
      <w:proofErr w:type="spellStart"/>
      <w:r w:rsidRPr="002B7E4F">
        <w:rPr>
          <w:rFonts w:ascii="Arial" w:hAnsi="Arial" w:cs="Arial"/>
          <w:sz w:val="22"/>
          <w:szCs w:val="22"/>
        </w:rPr>
        <w:t>colganteos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especial para los equipos o bien para las tuberías, conexiones, tomas todo de acuerdo a lo indicado por el proyecto ejecutivo. </w:t>
      </w:r>
    </w:p>
    <w:p w:rsidR="002B7E4F" w:rsidRPr="002B7E4F" w:rsidRDefault="002B7E4F" w:rsidP="00462F48">
      <w:pPr>
        <w:pStyle w:val="TITULO-3"/>
        <w:numPr>
          <w:ilvl w:val="2"/>
          <w:numId w:val="15"/>
        </w:numPr>
        <w:tabs>
          <w:tab w:val="clear" w:pos="1440"/>
          <w:tab w:val="num" w:pos="851"/>
        </w:tabs>
        <w:ind w:left="851" w:hanging="851"/>
        <w:rPr>
          <w:rFonts w:ascii="Arial" w:hAnsi="Arial" w:cs="Arial"/>
          <w:b/>
          <w:sz w:val="22"/>
          <w:szCs w:val="22"/>
        </w:rPr>
      </w:pPr>
      <w:bookmarkStart w:id="9" w:name="_Toc368180145"/>
      <w:r w:rsidRPr="002B7E4F">
        <w:rPr>
          <w:rFonts w:ascii="Arial" w:hAnsi="Arial" w:cs="Arial"/>
          <w:b/>
          <w:sz w:val="22"/>
          <w:szCs w:val="22"/>
        </w:rPr>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tablero de control deberá ser probado en fábrica y una vez ya instalado deberá de operar en condiciones normales, de forma automática y manual. Cada uno de estos regímenes de operación deberá ser estructurado por el suministrador de los equipos en conjunción con la dirección de obra y en cumplimiento de lo establecido en las normas nacionales e internacionales.</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de acuerdo a lo indicado por las normativas aplicables y bajo los estándares internacionales.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lastRenderedPageBreak/>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5"/>
        </w:numPr>
        <w:rPr>
          <w:sz w:val="22"/>
          <w:szCs w:val="22"/>
        </w:rPr>
      </w:pPr>
      <w:bookmarkStart w:id="10" w:name="_Toc368180146"/>
      <w:r w:rsidRPr="002B7E4F">
        <w:rPr>
          <w:sz w:val="22"/>
          <w:szCs w:val="22"/>
        </w:rPr>
        <w:t>Garantías de calidad</w:t>
      </w:r>
      <w:bookmarkEnd w:id="10"/>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5"/>
        </w:numPr>
        <w:rPr>
          <w:sz w:val="22"/>
          <w:szCs w:val="22"/>
        </w:rPr>
      </w:pPr>
      <w:bookmarkStart w:id="11" w:name="_Toc368180147"/>
      <w:r w:rsidRPr="002B7E4F">
        <w:rPr>
          <w:sz w:val="22"/>
          <w:szCs w:val="22"/>
        </w:rPr>
        <w:t>Garantías técnicas</w:t>
      </w:r>
      <w:bookmarkEnd w:id="11"/>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5"/>
        </w:numPr>
        <w:tabs>
          <w:tab w:val="clear" w:pos="1440"/>
          <w:tab w:val="num" w:pos="851"/>
        </w:tabs>
        <w:ind w:left="851" w:hanging="851"/>
        <w:rPr>
          <w:rFonts w:ascii="Arial" w:hAnsi="Arial" w:cs="Arial"/>
          <w:b/>
          <w:sz w:val="22"/>
          <w:szCs w:val="22"/>
        </w:rPr>
      </w:pPr>
      <w:bookmarkStart w:id="12" w:name="_Toc368180148"/>
      <w:r w:rsidRPr="002B7E4F">
        <w:rPr>
          <w:rFonts w:ascii="Arial" w:hAnsi="Arial" w:cs="Arial"/>
          <w:b/>
          <w:sz w:val="22"/>
          <w:szCs w:val="22"/>
        </w:rPr>
        <w:t>Base de Pago</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972CE">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6ED0"/>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2CE"/>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72B14-0E81-41E2-B597-94E0CFA8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1650</Words>
  <Characters>9182</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2014-04-10T22:11:00Z</dcterms:created>
  <dcterms:modified xsi:type="dcterms:W3CDTF">2014-04-10T22:11:00Z</dcterms:modified>
</cp:coreProperties>
</file>